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Pr>
                <w:rFonts w:ascii="Arial" w:hAnsi="Arial"/>
                <w:b/>
                <w:sz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Pr>
                <w:rFonts w:ascii="Arial" w:hAnsi="Arial"/>
                <w:sz w:val="20"/>
              </w:rPr>
              <w:t>Decision number:</w:t>
            </w:r>
          </w:p>
        </w:tc>
        <w:tc>
          <w:tcPr>
            <w:tcW w:w="2552" w:type="dxa"/>
            <w:tcMar>
              <w:top w:w="113" w:type="dxa"/>
            </w:tcMar>
          </w:tcPr>
          <w:p w14:paraId="357DCD51" w14:textId="02246F1E" w:rsidR="00FE7569" w:rsidRPr="00047508" w:rsidRDefault="00FE7569">
            <w:pPr>
              <w:rPr>
                <w:rFonts w:ascii="Arial" w:hAnsi="Arial" w:cs="Arial"/>
                <w:sz w:val="20"/>
                <w:szCs w:val="20"/>
              </w:rPr>
            </w:pPr>
            <w:r>
              <w:rPr>
                <w:rFonts w:ascii="Arial" w:hAnsi="Arial"/>
                <w:sz w:val="20"/>
              </w:rPr>
              <w:t>2025-13</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Pr>
                <w:rFonts w:ascii="Arial" w:hAnsi="Arial"/>
                <w:sz w:val="20"/>
              </w:rPr>
              <w:t>Subject:</w:t>
            </w:r>
          </w:p>
        </w:tc>
        <w:tc>
          <w:tcPr>
            <w:tcW w:w="6999" w:type="dxa"/>
            <w:gridSpan w:val="3"/>
            <w:tcMar>
              <w:top w:w="113" w:type="dxa"/>
            </w:tcMar>
          </w:tcPr>
          <w:p w14:paraId="486A659B" w14:textId="4AECCAC3" w:rsidR="00FE7569" w:rsidRPr="00047508" w:rsidRDefault="00FB1295">
            <w:pPr>
              <w:rPr>
                <w:rFonts w:ascii="Arial" w:hAnsi="Arial" w:cs="Arial"/>
                <w:sz w:val="20"/>
                <w:szCs w:val="20"/>
              </w:rPr>
            </w:pPr>
            <w:r>
              <w:rPr>
                <w:rFonts w:ascii="Arial" w:hAnsi="Arial"/>
                <w:sz w:val="20"/>
              </w:rPr>
              <w:t>Decision ‘Evaluation of man-days'</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Pr>
                <w:rFonts w:ascii="Arial" w:hAnsi="Arial"/>
                <w:sz w:val="20"/>
              </w:rPr>
              <w:t>Date:</w:t>
            </w:r>
          </w:p>
        </w:tc>
        <w:tc>
          <w:tcPr>
            <w:tcW w:w="2552" w:type="dxa"/>
            <w:tcBorders>
              <w:bottom w:val="single" w:sz="4" w:space="0" w:color="auto"/>
            </w:tcBorders>
            <w:tcMar>
              <w:top w:w="113" w:type="dxa"/>
            </w:tcMar>
          </w:tcPr>
          <w:p w14:paraId="58C1BE33" w14:textId="4DD7B8A3" w:rsidR="00FE7569" w:rsidRPr="00047508" w:rsidRDefault="00FE7569">
            <w:pPr>
              <w:rPr>
                <w:rFonts w:ascii="Arial" w:hAnsi="Arial" w:cs="Arial"/>
                <w:sz w:val="20"/>
                <w:szCs w:val="20"/>
              </w:rPr>
            </w:pPr>
            <w:r>
              <w:rPr>
                <w:rFonts w:ascii="Arial" w:hAnsi="Arial"/>
                <w:sz w:val="20"/>
              </w:rPr>
              <w:t>24.9.25</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Pr>
                <w:rFonts w:ascii="Arial" w:hAnsi="Arial"/>
                <w:sz w:val="20"/>
              </w:rPr>
              <w:t>Implementation:</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Pr>
                <w:rFonts w:ascii="Arial" w:hAnsi="Arial"/>
                <w:sz w:val="20"/>
              </w:rPr>
              <w:t>Publication on website and in interpretation document for 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Pr>
                <w:rFonts w:ascii="Arial" w:hAnsi="Arial"/>
                <w:sz w:val="20"/>
              </w:rPr>
              <w:t>Commencement date:</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sz w:val="20"/>
              </w:rPr>
              <w:t xml:space="preserve">With immediate effect </w:t>
            </w:r>
          </w:p>
        </w:tc>
      </w:tr>
    </w:tbl>
    <w:p w14:paraId="7EE34978" w14:textId="77777777" w:rsidR="00611D15" w:rsidRDefault="00611D15" w:rsidP="00611D15"/>
    <w:p w14:paraId="084D0785" w14:textId="77777777" w:rsidR="000C371A" w:rsidRPr="00FF71B6" w:rsidRDefault="000C371A" w:rsidP="000C371A">
      <w:pPr>
        <w:spacing w:after="0"/>
        <w:rPr>
          <w:color w:val="009691"/>
        </w:rPr>
      </w:pPr>
      <w:r w:rsidRPr="00FF71B6">
        <w:rPr>
          <w:color w:val="009691"/>
        </w:rPr>
        <w:t>Background:</w:t>
      </w:r>
    </w:p>
    <w:p w14:paraId="762A05E3" w14:textId="5D1354CC" w:rsidR="006322DC" w:rsidRPr="00FF71B6" w:rsidRDefault="00FA30E6" w:rsidP="006322DC">
      <w:pPr>
        <w:spacing w:after="0"/>
      </w:pPr>
      <w:r w:rsidRPr="00FF71B6">
        <w:t>NEN has received several indications from the market concerning the number of man-days during SCL audits.</w:t>
      </w:r>
    </w:p>
    <w:p w14:paraId="031F4690" w14:textId="53164589" w:rsidR="00761D9A" w:rsidRPr="00FF71B6" w:rsidRDefault="00761D9A" w:rsidP="006322DC">
      <w:pPr>
        <w:spacing w:after="0"/>
      </w:pPr>
      <w:r w:rsidRPr="00FF71B6">
        <w:t xml:space="preserve">As a result, the SCL </w:t>
      </w:r>
      <w:proofErr w:type="spellStart"/>
      <w:r w:rsidRPr="00FF71B6">
        <w:t>CoE</w:t>
      </w:r>
      <w:proofErr w:type="spellEnd"/>
      <w:r w:rsidRPr="00FF71B6">
        <w:t xml:space="preserve"> asked a WG to evaluate the man-day tables for the SCL (Tables 2 and 3) and, if desired/necessary, to develop a proposal for adjusting the man-days.</w:t>
      </w:r>
    </w:p>
    <w:p w14:paraId="284B757B" w14:textId="77777777" w:rsidR="00035827" w:rsidRPr="00FF71B6" w:rsidRDefault="00035827" w:rsidP="000503D2">
      <w:pPr>
        <w:spacing w:after="0"/>
      </w:pPr>
    </w:p>
    <w:p w14:paraId="3D43F18F" w14:textId="4AB8795E" w:rsidR="00035827" w:rsidRPr="00FF71B6" w:rsidRDefault="006D63AF" w:rsidP="000503D2">
      <w:pPr>
        <w:spacing w:after="0"/>
        <w:rPr>
          <w:color w:val="009691"/>
        </w:rPr>
      </w:pPr>
      <w:r w:rsidRPr="00FF71B6">
        <w:rPr>
          <w:color w:val="009691"/>
        </w:rPr>
        <w:t>Consideration:</w:t>
      </w:r>
    </w:p>
    <w:p w14:paraId="57FE52C6" w14:textId="77777777" w:rsidR="0068096E" w:rsidRPr="00FF71B6" w:rsidRDefault="00CB09AF" w:rsidP="000503D2">
      <w:pPr>
        <w:spacing w:after="0"/>
      </w:pPr>
      <w:r w:rsidRPr="00FF71B6">
        <w:t xml:space="preserve">The </w:t>
      </w:r>
      <w:proofErr w:type="spellStart"/>
      <w:r w:rsidRPr="00FF71B6">
        <w:t>CoE</w:t>
      </w:r>
      <w:proofErr w:type="spellEnd"/>
      <w:r w:rsidRPr="00FF71B6">
        <w:t xml:space="preserve"> has taken note of the detailed analysis carried out by the WG, where 2 scenarios were developed/calculated.</w:t>
      </w:r>
    </w:p>
    <w:p w14:paraId="55A19434" w14:textId="54C1E181" w:rsidR="005D74AD" w:rsidRPr="00FF71B6" w:rsidRDefault="005D74AD" w:rsidP="00DC20DB">
      <w:pPr>
        <w:spacing w:after="0"/>
        <w:rPr>
          <w:u w:val="single"/>
        </w:rPr>
      </w:pPr>
      <w:r w:rsidRPr="00FF71B6">
        <w:rPr>
          <w:u w:val="single"/>
        </w:rPr>
        <w:t>Scenario 1:</w:t>
      </w:r>
    </w:p>
    <w:p w14:paraId="32BF6326" w14:textId="77777777" w:rsidR="005D74AD" w:rsidRPr="00FF71B6" w:rsidRDefault="005D74AD" w:rsidP="00DC20DB">
      <w:pPr>
        <w:pStyle w:val="Lijstalinea"/>
        <w:numPr>
          <w:ilvl w:val="0"/>
          <w:numId w:val="13"/>
        </w:numPr>
        <w:spacing w:after="0" w:line="257" w:lineRule="auto"/>
        <w:ind w:left="284" w:hanging="284"/>
        <w:rPr>
          <w:rFonts w:eastAsia="Arial" w:cs="Arial"/>
        </w:rPr>
      </w:pPr>
      <w:r w:rsidRPr="00FF71B6">
        <w:t>A base time calculated according to the size of an organisation, measured in terms of the number of employees (own staff and temporary)</w:t>
      </w:r>
    </w:p>
    <w:p w14:paraId="734B7946" w14:textId="77777777" w:rsidR="005D74AD" w:rsidRPr="00FF71B6" w:rsidRDefault="005D74AD" w:rsidP="00DC20DB">
      <w:pPr>
        <w:pStyle w:val="Lijstalinea"/>
        <w:numPr>
          <w:ilvl w:val="0"/>
          <w:numId w:val="13"/>
        </w:numPr>
        <w:spacing w:after="0" w:line="257" w:lineRule="auto"/>
        <w:ind w:left="284" w:hanging="284"/>
        <w:rPr>
          <w:rFonts w:eastAsia="Arial" w:cs="Arial"/>
        </w:rPr>
      </w:pPr>
      <w:r w:rsidRPr="00FF71B6">
        <w:t>Additional time depending on the complexity of the organisation (diversity in scope, number of branches, number of entities, number of projects)</w:t>
      </w:r>
      <w:r w:rsidRPr="00FF71B6">
        <w:br/>
        <w:t xml:space="preserve">and </w:t>
      </w:r>
    </w:p>
    <w:p w14:paraId="317875C8" w14:textId="77777777" w:rsidR="005D74AD" w:rsidRPr="00FF71B6" w:rsidRDefault="005D74AD" w:rsidP="00DC20DB">
      <w:pPr>
        <w:pStyle w:val="Lijstalinea"/>
        <w:numPr>
          <w:ilvl w:val="0"/>
          <w:numId w:val="13"/>
        </w:numPr>
        <w:spacing w:after="0" w:line="257" w:lineRule="auto"/>
        <w:ind w:left="284" w:hanging="284"/>
        <w:rPr>
          <w:rFonts w:eastAsia="Arial" w:cs="Arial"/>
        </w:rPr>
      </w:pPr>
      <w:r w:rsidRPr="00FF71B6">
        <w:t>Additional time for inclusion of the chain (number and nature of collaborating organisations, in-house versus outsourced, characteristics of contracted/hired organisations/personnel (including percentage of non-native speakers in the organisation).</w:t>
      </w:r>
    </w:p>
    <w:p w14:paraId="754B3D2A" w14:textId="77777777" w:rsidR="005D74AD" w:rsidRPr="00FF71B6" w:rsidRDefault="005D74AD" w:rsidP="005D74AD">
      <w:pPr>
        <w:pStyle w:val="Lijstalinea"/>
        <w:spacing w:after="0" w:line="257" w:lineRule="auto"/>
        <w:ind w:left="780" w:hanging="360"/>
        <w:rPr>
          <w:rFonts w:eastAsia="Arial" w:cs="Arial"/>
        </w:rPr>
      </w:pPr>
    </w:p>
    <w:p w14:paraId="62766759" w14:textId="77777777" w:rsidR="005D74AD" w:rsidRPr="00FF71B6" w:rsidRDefault="005D74AD" w:rsidP="005D74AD">
      <w:pPr>
        <w:spacing w:after="0" w:line="257" w:lineRule="auto"/>
        <w:rPr>
          <w:rFonts w:eastAsia="Arial" w:cs="Arial"/>
        </w:rPr>
      </w:pPr>
      <w:r w:rsidRPr="00FF71B6">
        <w:t>The starting point for the additional time was the impact of the factors on attitude and behaviour. An impact classification of low, medium and high was used.</w:t>
      </w:r>
    </w:p>
    <w:p w14:paraId="45253E47" w14:textId="77777777" w:rsidR="00C32B5C" w:rsidRPr="00FF71B6" w:rsidRDefault="00C32B5C" w:rsidP="005D74AD">
      <w:pPr>
        <w:spacing w:after="0" w:line="257" w:lineRule="auto"/>
        <w:rPr>
          <w:rFonts w:eastAsia="Arial" w:cs="Arial"/>
        </w:rPr>
      </w:pPr>
    </w:p>
    <w:p w14:paraId="576F9050" w14:textId="77777777" w:rsidR="00484957" w:rsidRPr="00FF71B6" w:rsidRDefault="00C32B5C" w:rsidP="005D74AD">
      <w:pPr>
        <w:spacing w:after="0" w:line="257" w:lineRule="auto"/>
        <w:rPr>
          <w:rFonts w:eastAsia="Arial" w:cs="Arial"/>
          <w:u w:val="single"/>
        </w:rPr>
      </w:pPr>
      <w:r w:rsidRPr="00FF71B6">
        <w:rPr>
          <w:u w:val="single"/>
        </w:rPr>
        <w:t>Scenario 1 conclusion:</w:t>
      </w:r>
    </w:p>
    <w:p w14:paraId="4781A5CD" w14:textId="77777777" w:rsidR="00BA3D1F" w:rsidRPr="00FF71B6" w:rsidRDefault="00484957" w:rsidP="005D74AD">
      <w:pPr>
        <w:spacing w:after="0" w:line="257" w:lineRule="auto"/>
        <w:rPr>
          <w:rFonts w:eastAsia="Arial" w:cs="Arial"/>
        </w:rPr>
      </w:pPr>
      <w:r w:rsidRPr="00FF71B6">
        <w:t>The calculation process is tedious, particularly when determining the base time.</w:t>
      </w:r>
    </w:p>
    <w:p w14:paraId="7A113197" w14:textId="079D8FA0" w:rsidR="00C32B5C" w:rsidRPr="00FF71B6" w:rsidRDefault="001125BB" w:rsidP="005D74AD">
      <w:pPr>
        <w:spacing w:after="0" w:line="257" w:lineRule="auto"/>
        <w:rPr>
          <w:rFonts w:eastAsia="Arial" w:cs="Arial"/>
        </w:rPr>
      </w:pPr>
      <w:r w:rsidRPr="00FF71B6">
        <w:t xml:space="preserve">The outcome showed that the results are no more straightforward than those we currently have, nor are they any more cost-effective for small organisations. </w:t>
      </w:r>
    </w:p>
    <w:p w14:paraId="4B9CCF09" w14:textId="77777777" w:rsidR="005D74AD" w:rsidRPr="00FF71B6" w:rsidRDefault="005D74AD" w:rsidP="000503D2">
      <w:pPr>
        <w:spacing w:after="0"/>
      </w:pPr>
    </w:p>
    <w:p w14:paraId="7303F035" w14:textId="1FA825AD" w:rsidR="00DC20DB" w:rsidRPr="00FF71B6" w:rsidRDefault="00DC20DB" w:rsidP="000503D2">
      <w:pPr>
        <w:spacing w:after="0"/>
        <w:rPr>
          <w:u w:val="single"/>
        </w:rPr>
      </w:pPr>
      <w:r w:rsidRPr="00FF71B6">
        <w:rPr>
          <w:u w:val="single"/>
        </w:rPr>
        <w:t>Scenario 2:</w:t>
      </w:r>
    </w:p>
    <w:p w14:paraId="377FC917" w14:textId="07262CF4" w:rsidR="004B1EEF" w:rsidRPr="00FF71B6" w:rsidRDefault="004B1EEF" w:rsidP="004B1EEF">
      <w:pPr>
        <w:pStyle w:val="Lijstalinea"/>
        <w:numPr>
          <w:ilvl w:val="0"/>
          <w:numId w:val="14"/>
        </w:numPr>
        <w:spacing w:after="0" w:line="257" w:lineRule="auto"/>
        <w:ind w:left="284" w:hanging="284"/>
        <w:rPr>
          <w:rFonts w:eastAsia="Arial" w:cs="Arial"/>
        </w:rPr>
      </w:pPr>
      <w:r w:rsidRPr="00FF71B6">
        <w:t>Based on audit preparation, audit execution and audit reporting. Review and certification decisions are not taken into account (as overhead in the man-hour rate).</w:t>
      </w:r>
    </w:p>
    <w:p w14:paraId="3C52547E" w14:textId="4A047396" w:rsidR="004B1EEF" w:rsidRPr="00FF71B6" w:rsidRDefault="001410ED" w:rsidP="004B1EEF">
      <w:pPr>
        <w:pStyle w:val="Lijstalinea"/>
        <w:numPr>
          <w:ilvl w:val="0"/>
          <w:numId w:val="14"/>
        </w:numPr>
        <w:spacing w:after="0" w:line="257" w:lineRule="auto"/>
        <w:ind w:left="284" w:hanging="284"/>
        <w:rPr>
          <w:rFonts w:eastAsia="Arial" w:cs="Arial"/>
        </w:rPr>
      </w:pPr>
      <w:r w:rsidRPr="00FF71B6">
        <w:t>The following rule of thumb (practice-related) has been applied: the audit time consists of 80% effective audit time and 20% preparation and reporting time.</w:t>
      </w:r>
    </w:p>
    <w:p w14:paraId="3D803725" w14:textId="77777777" w:rsidR="004B1EEF" w:rsidRPr="00FF71B6" w:rsidRDefault="004B1EEF" w:rsidP="004B1EEF">
      <w:pPr>
        <w:pStyle w:val="Lijstalinea"/>
        <w:numPr>
          <w:ilvl w:val="0"/>
          <w:numId w:val="14"/>
        </w:numPr>
        <w:spacing w:after="0" w:line="257" w:lineRule="auto"/>
        <w:ind w:left="284" w:hanging="284"/>
        <w:rPr>
          <w:rFonts w:eastAsia="Arial" w:cs="Arial"/>
        </w:rPr>
      </w:pPr>
      <w:r w:rsidRPr="00FF71B6">
        <w:t>Preparation/reporting time is a fixed part of effective audit time; only effective audit time is variable.</w:t>
      </w:r>
    </w:p>
    <w:p w14:paraId="7AD06A51" w14:textId="77777777" w:rsidR="004B1EEF" w:rsidRPr="00FF71B6" w:rsidRDefault="004B1EEF" w:rsidP="004B1EEF">
      <w:pPr>
        <w:pStyle w:val="Lijstalinea"/>
        <w:numPr>
          <w:ilvl w:val="0"/>
          <w:numId w:val="14"/>
        </w:numPr>
        <w:spacing w:after="0" w:line="257" w:lineRule="auto"/>
        <w:ind w:left="284" w:hanging="284"/>
        <w:rPr>
          <w:rFonts w:eastAsia="Arial" w:cs="Arial"/>
        </w:rPr>
      </w:pPr>
      <w:r w:rsidRPr="00FF71B6">
        <w:lastRenderedPageBreak/>
        <w:t>Effective audit time depends on the number of interviews, which is based on the number of employees according to the current root functions, as well as the number of trips during the audit, which is based on the number of projects and branches to be visited according to the current root function (projects) and scale (branches).</w:t>
      </w:r>
    </w:p>
    <w:p w14:paraId="288BAA80" w14:textId="77777777" w:rsidR="004B1EEF" w:rsidRPr="00FF71B6" w:rsidRDefault="004B1EEF" w:rsidP="004B1EEF">
      <w:pPr>
        <w:pStyle w:val="Lijstalinea"/>
        <w:numPr>
          <w:ilvl w:val="0"/>
          <w:numId w:val="14"/>
        </w:numPr>
        <w:spacing w:after="0" w:line="257" w:lineRule="auto"/>
        <w:ind w:left="284" w:hanging="284"/>
        <w:rPr>
          <w:rFonts w:eastAsia="Arial" w:cs="Arial"/>
        </w:rPr>
      </w:pPr>
      <w:r w:rsidRPr="00FF71B6">
        <w:t>The minimum number of man-days remains at 2.</w:t>
      </w:r>
    </w:p>
    <w:p w14:paraId="4D4B96B6" w14:textId="77777777" w:rsidR="004B1EEF" w:rsidRPr="00FF71B6" w:rsidRDefault="004B1EEF" w:rsidP="004B1EEF">
      <w:pPr>
        <w:pStyle w:val="Lijstalinea"/>
        <w:numPr>
          <w:ilvl w:val="0"/>
          <w:numId w:val="14"/>
        </w:numPr>
        <w:spacing w:after="0" w:line="257" w:lineRule="auto"/>
        <w:ind w:left="284" w:hanging="284"/>
        <w:rPr>
          <w:rFonts w:eastAsia="Arial" w:cs="Arial"/>
        </w:rPr>
      </w:pPr>
      <w:r w:rsidRPr="00FF71B6">
        <w:t>There will be 1 man-day scale table (instead of the current 2) in the layout of the current scale for small companies.</w:t>
      </w:r>
    </w:p>
    <w:p w14:paraId="4CCFF37B" w14:textId="76EF16D3" w:rsidR="00DC20DB" w:rsidRPr="00FF71B6" w:rsidRDefault="004B1EEF" w:rsidP="004B1EEF">
      <w:pPr>
        <w:pStyle w:val="Lijstalinea"/>
        <w:numPr>
          <w:ilvl w:val="0"/>
          <w:numId w:val="14"/>
        </w:numPr>
        <w:spacing w:after="0" w:line="257" w:lineRule="auto"/>
        <w:ind w:left="284" w:hanging="284"/>
        <w:rPr>
          <w:rFonts w:eastAsia="Arial" w:cs="Arial"/>
        </w:rPr>
      </w:pPr>
      <w:r w:rsidRPr="00FF71B6">
        <w:t>The factor for each step was omitted. A factor for each block has been added instead. Block 1 to T3 has a factor of 1; Block 2 T4/T5 has a factor of 1.5 or 2</w:t>
      </w:r>
      <w:r w:rsidRPr="00FF71B6">
        <w:br/>
      </w:r>
    </w:p>
    <w:p w14:paraId="0DFF4377" w14:textId="075CC666" w:rsidR="0068096E" w:rsidRPr="00FF71B6" w:rsidRDefault="0066504B" w:rsidP="000503D2">
      <w:pPr>
        <w:spacing w:after="0"/>
        <w:rPr>
          <w:u w:val="single"/>
        </w:rPr>
      </w:pPr>
      <w:r w:rsidRPr="00FF71B6">
        <w:rPr>
          <w:u w:val="single"/>
        </w:rPr>
        <w:t>Scenario 2 conclusion:</w:t>
      </w:r>
    </w:p>
    <w:p w14:paraId="6D51C8EA" w14:textId="332DAF63" w:rsidR="0068096E" w:rsidRPr="00FF71B6" w:rsidRDefault="006F6037" w:rsidP="000503D2">
      <w:pPr>
        <w:spacing w:after="0"/>
        <w:rPr>
          <w:rFonts w:eastAsia="Arial" w:cs="Arial"/>
        </w:rPr>
      </w:pPr>
      <w:r w:rsidRPr="00FF71B6">
        <w:t>Applying the calculation rules above results in almost the same outcome for both large and small organisations as when the current man-day table is used.</w:t>
      </w:r>
    </w:p>
    <w:p w14:paraId="095FB4DC" w14:textId="77777777" w:rsidR="00B70F04" w:rsidRPr="00FF71B6" w:rsidRDefault="00B70F04" w:rsidP="000503D2">
      <w:pPr>
        <w:spacing w:after="0"/>
      </w:pPr>
    </w:p>
    <w:p w14:paraId="08A4E456" w14:textId="63AC6D58" w:rsidR="0068096E" w:rsidRPr="00FF71B6" w:rsidRDefault="002E3344" w:rsidP="000503D2">
      <w:pPr>
        <w:spacing w:after="0"/>
        <w:rPr>
          <w:b/>
          <w:bCs/>
        </w:rPr>
      </w:pPr>
      <w:r w:rsidRPr="00FF71B6">
        <w:rPr>
          <w:b/>
        </w:rPr>
        <w:t>Overall conclusion:</w:t>
      </w:r>
    </w:p>
    <w:p w14:paraId="7F013267" w14:textId="77777777" w:rsidR="00686E58" w:rsidRPr="00FF71B6" w:rsidRDefault="00686E58" w:rsidP="00686E58">
      <w:pPr>
        <w:spacing w:after="0"/>
      </w:pPr>
      <w:r w:rsidRPr="00FF71B6">
        <w:t xml:space="preserve">Adjusting the man-day table based on the calculations performed does not result in any direct simplification. Alternative methods are more complex and do not appear to directly result in a better outcome (simpler, clearer, more user-friendly, more proportional). </w:t>
      </w:r>
    </w:p>
    <w:p w14:paraId="73B1E009" w14:textId="7959A44E" w:rsidR="00686E58" w:rsidRPr="00FF71B6" w:rsidRDefault="00686E58" w:rsidP="00686E58">
      <w:pPr>
        <w:spacing w:after="0"/>
      </w:pPr>
      <w:r w:rsidRPr="00FF71B6">
        <w:t>The multiplication factors per step are feasible and justifiable because when higher up the ladder, more depth, breadth and burden of proof are required. Furthermore, the current man-day table can be used for the CBs, and in practice, there are hardly any issues with its application.</w:t>
      </w:r>
    </w:p>
    <w:p w14:paraId="343620D6" w14:textId="09ECC0AB" w:rsidR="002E3344" w:rsidRPr="00FF71B6" w:rsidRDefault="00686E58" w:rsidP="00686E58">
      <w:pPr>
        <w:spacing w:after="0"/>
      </w:pPr>
      <w:r w:rsidRPr="00FF71B6">
        <w:t>Therefore, the proposal is to leave the current man-day table as is.</w:t>
      </w:r>
    </w:p>
    <w:p w14:paraId="60F5FEAD" w14:textId="77777777" w:rsidR="007B60E8" w:rsidRPr="00FF71B6" w:rsidRDefault="007B60E8" w:rsidP="000C371A">
      <w:pPr>
        <w:spacing w:after="0"/>
        <w:rPr>
          <w:color w:val="009691"/>
        </w:rPr>
      </w:pPr>
    </w:p>
    <w:p w14:paraId="7CF392E8" w14:textId="3F19EF16" w:rsidR="000C371A" w:rsidRPr="00FF71B6" w:rsidRDefault="000C371A" w:rsidP="000C371A">
      <w:pPr>
        <w:spacing w:after="0"/>
        <w:rPr>
          <w:color w:val="009691"/>
        </w:rPr>
      </w:pPr>
      <w:r w:rsidRPr="00FF71B6">
        <w:rPr>
          <w:color w:val="009691"/>
        </w:rPr>
        <w:t>Decision:</w:t>
      </w:r>
    </w:p>
    <w:p w14:paraId="2757C3FF" w14:textId="60AB0B46" w:rsidR="000C371A" w:rsidRPr="00FF71B6" w:rsidRDefault="000C371A" w:rsidP="000C371A">
      <w:pPr>
        <w:spacing w:after="0"/>
      </w:pPr>
      <w:r w:rsidRPr="00FF71B6">
        <w:t xml:space="preserve">The SCL </w:t>
      </w:r>
      <w:proofErr w:type="spellStart"/>
      <w:r w:rsidRPr="00FF71B6">
        <w:t>CoE</w:t>
      </w:r>
      <w:proofErr w:type="spellEnd"/>
      <w:r w:rsidRPr="00FF71B6">
        <w:t xml:space="preserve"> has taken the following decision:</w:t>
      </w:r>
    </w:p>
    <w:p w14:paraId="0A8B9613" w14:textId="5F527FD9" w:rsidR="00B462B7" w:rsidRPr="00FF71B6" w:rsidRDefault="00B462B7" w:rsidP="00B462B7">
      <w:pPr>
        <w:spacing w:after="0"/>
        <w:ind w:left="426" w:hanging="426"/>
      </w:pPr>
      <w:r w:rsidRPr="00FF71B6">
        <w:t>1.</w:t>
      </w:r>
      <w:r w:rsidRPr="00FF71B6">
        <w:tab/>
        <w:t>The current man-day tables will remain unchanged as the normative framework for audit time within SCL 2.0.</w:t>
      </w:r>
    </w:p>
    <w:p w14:paraId="28090AC1" w14:textId="3540CD69" w:rsidR="00B462B7" w:rsidRPr="00FF71B6" w:rsidRDefault="00B462B7" w:rsidP="00B462B7">
      <w:pPr>
        <w:spacing w:after="0"/>
        <w:ind w:left="426" w:hanging="426"/>
      </w:pPr>
      <w:r w:rsidRPr="00FF71B6">
        <w:t>2.</w:t>
      </w:r>
      <w:r w:rsidRPr="00FF71B6">
        <w:tab/>
        <w:t>No further work will be undertaken on alternative calculation methods, given their limited added value.</w:t>
      </w:r>
    </w:p>
    <w:p w14:paraId="339DF221" w14:textId="70AE6B34" w:rsidR="00935FE3" w:rsidRPr="00FF71B6" w:rsidRDefault="00B462B7" w:rsidP="00B462B7">
      <w:pPr>
        <w:spacing w:after="0"/>
        <w:ind w:left="426" w:hanging="426"/>
      </w:pPr>
      <w:r w:rsidRPr="00FF71B6">
        <w:t>3.</w:t>
      </w:r>
      <w:r w:rsidRPr="00FF71B6">
        <w:tab/>
        <w:t>Guidelines for auditors on how to make more effective use of the available audit time will be developed in more detail.</w:t>
      </w:r>
    </w:p>
    <w:p w14:paraId="4538DA46" w14:textId="77777777" w:rsidR="00935FE3" w:rsidRDefault="00935FE3" w:rsidP="000C371A">
      <w:pPr>
        <w:spacing w:after="0"/>
      </w:pPr>
    </w:p>
    <w:p w14:paraId="4DACC024" w14:textId="31F1B3BB" w:rsidR="00BA1167" w:rsidRDefault="00BA1167"/>
    <w:sectPr w:rsidR="00BA116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D852" w14:textId="77777777" w:rsidR="009E1206" w:rsidRDefault="009E1206" w:rsidP="00631320">
      <w:pPr>
        <w:spacing w:after="0" w:line="240" w:lineRule="auto"/>
      </w:pPr>
      <w:r>
        <w:separator/>
      </w:r>
    </w:p>
  </w:endnote>
  <w:endnote w:type="continuationSeparator" w:id="0">
    <w:p w14:paraId="624A0816" w14:textId="77777777" w:rsidR="009E1206" w:rsidRDefault="009E1206" w:rsidP="00631320">
      <w:pPr>
        <w:spacing w:after="0" w:line="240" w:lineRule="auto"/>
      </w:pPr>
      <w:r>
        <w:continuationSeparator/>
      </w:r>
    </w:p>
  </w:endnote>
  <w:endnote w:type="continuationNotice" w:id="1">
    <w:p w14:paraId="236AC0B7" w14:textId="77777777" w:rsidR="009E1206" w:rsidRDefault="009E1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6B33" w14:textId="77777777" w:rsidR="009E1206" w:rsidRDefault="009E1206" w:rsidP="00631320">
      <w:pPr>
        <w:spacing w:after="0" w:line="240" w:lineRule="auto"/>
      </w:pPr>
      <w:r>
        <w:separator/>
      </w:r>
    </w:p>
  </w:footnote>
  <w:footnote w:type="continuationSeparator" w:id="0">
    <w:p w14:paraId="6BC2F51A" w14:textId="77777777" w:rsidR="009E1206" w:rsidRDefault="009E1206" w:rsidP="00631320">
      <w:pPr>
        <w:spacing w:after="0" w:line="240" w:lineRule="auto"/>
      </w:pPr>
      <w:r>
        <w:continuationSeparator/>
      </w:r>
    </w:p>
  </w:footnote>
  <w:footnote w:type="continuationNotice" w:id="1">
    <w:p w14:paraId="468B1373" w14:textId="77777777" w:rsidR="009E1206" w:rsidRDefault="009E12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6E798F0"/>
    <w:multiLevelType w:val="hybridMultilevel"/>
    <w:tmpl w:val="4418DA44"/>
    <w:lvl w:ilvl="0" w:tplc="08F896C0">
      <w:start w:val="1"/>
      <w:numFmt w:val="bullet"/>
      <w:lvlText w:val="·"/>
      <w:lvlJc w:val="left"/>
      <w:pPr>
        <w:ind w:left="720" w:hanging="360"/>
      </w:pPr>
      <w:rPr>
        <w:rFonts w:ascii="Symbol" w:hAnsi="Symbol" w:hint="default"/>
      </w:rPr>
    </w:lvl>
    <w:lvl w:ilvl="1" w:tplc="E1EA484E">
      <w:start w:val="1"/>
      <w:numFmt w:val="bullet"/>
      <w:lvlText w:val="o"/>
      <w:lvlJc w:val="left"/>
      <w:pPr>
        <w:ind w:left="1440" w:hanging="360"/>
      </w:pPr>
      <w:rPr>
        <w:rFonts w:ascii="Courier New" w:hAnsi="Courier New" w:hint="default"/>
      </w:rPr>
    </w:lvl>
    <w:lvl w:ilvl="2" w:tplc="5704B898">
      <w:start w:val="1"/>
      <w:numFmt w:val="bullet"/>
      <w:lvlText w:val=""/>
      <w:lvlJc w:val="left"/>
      <w:pPr>
        <w:ind w:left="2160" w:hanging="360"/>
      </w:pPr>
      <w:rPr>
        <w:rFonts w:ascii="Wingdings" w:hAnsi="Wingdings" w:hint="default"/>
      </w:rPr>
    </w:lvl>
    <w:lvl w:ilvl="3" w:tplc="2A882E2E">
      <w:start w:val="1"/>
      <w:numFmt w:val="bullet"/>
      <w:lvlText w:val=""/>
      <w:lvlJc w:val="left"/>
      <w:pPr>
        <w:ind w:left="2880" w:hanging="360"/>
      </w:pPr>
      <w:rPr>
        <w:rFonts w:ascii="Symbol" w:hAnsi="Symbol" w:hint="default"/>
      </w:rPr>
    </w:lvl>
    <w:lvl w:ilvl="4" w:tplc="0C705F56">
      <w:start w:val="1"/>
      <w:numFmt w:val="bullet"/>
      <w:lvlText w:val="o"/>
      <w:lvlJc w:val="left"/>
      <w:pPr>
        <w:ind w:left="3600" w:hanging="360"/>
      </w:pPr>
      <w:rPr>
        <w:rFonts w:ascii="Courier New" w:hAnsi="Courier New" w:hint="default"/>
      </w:rPr>
    </w:lvl>
    <w:lvl w:ilvl="5" w:tplc="E650247A">
      <w:start w:val="1"/>
      <w:numFmt w:val="bullet"/>
      <w:lvlText w:val=""/>
      <w:lvlJc w:val="left"/>
      <w:pPr>
        <w:ind w:left="4320" w:hanging="360"/>
      </w:pPr>
      <w:rPr>
        <w:rFonts w:ascii="Wingdings" w:hAnsi="Wingdings" w:hint="default"/>
      </w:rPr>
    </w:lvl>
    <w:lvl w:ilvl="6" w:tplc="C4AC90E6">
      <w:start w:val="1"/>
      <w:numFmt w:val="bullet"/>
      <w:lvlText w:val=""/>
      <w:lvlJc w:val="left"/>
      <w:pPr>
        <w:ind w:left="5040" w:hanging="360"/>
      </w:pPr>
      <w:rPr>
        <w:rFonts w:ascii="Symbol" w:hAnsi="Symbol" w:hint="default"/>
      </w:rPr>
    </w:lvl>
    <w:lvl w:ilvl="7" w:tplc="64C8EA24">
      <w:start w:val="1"/>
      <w:numFmt w:val="bullet"/>
      <w:lvlText w:val="o"/>
      <w:lvlJc w:val="left"/>
      <w:pPr>
        <w:ind w:left="5760" w:hanging="360"/>
      </w:pPr>
      <w:rPr>
        <w:rFonts w:ascii="Courier New" w:hAnsi="Courier New" w:hint="default"/>
      </w:rPr>
    </w:lvl>
    <w:lvl w:ilvl="8" w:tplc="08809798">
      <w:start w:val="1"/>
      <w:numFmt w:val="bullet"/>
      <w:lvlText w:val=""/>
      <w:lvlJc w:val="left"/>
      <w:pPr>
        <w:ind w:left="6480" w:hanging="360"/>
      </w:pPr>
      <w:rPr>
        <w:rFonts w:ascii="Wingdings" w:hAnsi="Wingdings" w:hint="default"/>
      </w:rPr>
    </w:lvl>
  </w:abstractNum>
  <w:abstractNum w:abstractNumId="8"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E34AA1E"/>
    <w:multiLevelType w:val="hybridMultilevel"/>
    <w:tmpl w:val="6C8CAB4E"/>
    <w:lvl w:ilvl="0" w:tplc="519423E6">
      <w:start w:val="1"/>
      <w:numFmt w:val="bullet"/>
      <w:lvlText w:val="·"/>
      <w:lvlJc w:val="left"/>
      <w:pPr>
        <w:ind w:left="720" w:hanging="360"/>
      </w:pPr>
      <w:rPr>
        <w:rFonts w:ascii="Symbol" w:hAnsi="Symbol" w:hint="default"/>
      </w:rPr>
    </w:lvl>
    <w:lvl w:ilvl="1" w:tplc="AD1EFF7E">
      <w:start w:val="1"/>
      <w:numFmt w:val="bullet"/>
      <w:lvlText w:val="o"/>
      <w:lvlJc w:val="left"/>
      <w:pPr>
        <w:ind w:left="1440" w:hanging="360"/>
      </w:pPr>
      <w:rPr>
        <w:rFonts w:ascii="Courier New" w:hAnsi="Courier New" w:hint="default"/>
      </w:rPr>
    </w:lvl>
    <w:lvl w:ilvl="2" w:tplc="50B6CC22">
      <w:start w:val="1"/>
      <w:numFmt w:val="bullet"/>
      <w:lvlText w:val=""/>
      <w:lvlJc w:val="left"/>
      <w:pPr>
        <w:ind w:left="2160" w:hanging="360"/>
      </w:pPr>
      <w:rPr>
        <w:rFonts w:ascii="Wingdings" w:hAnsi="Wingdings" w:hint="default"/>
      </w:rPr>
    </w:lvl>
    <w:lvl w:ilvl="3" w:tplc="E236CB88">
      <w:start w:val="1"/>
      <w:numFmt w:val="bullet"/>
      <w:lvlText w:val=""/>
      <w:lvlJc w:val="left"/>
      <w:pPr>
        <w:ind w:left="2880" w:hanging="360"/>
      </w:pPr>
      <w:rPr>
        <w:rFonts w:ascii="Symbol" w:hAnsi="Symbol" w:hint="default"/>
      </w:rPr>
    </w:lvl>
    <w:lvl w:ilvl="4" w:tplc="A02C4586">
      <w:start w:val="1"/>
      <w:numFmt w:val="bullet"/>
      <w:lvlText w:val="o"/>
      <w:lvlJc w:val="left"/>
      <w:pPr>
        <w:ind w:left="3600" w:hanging="360"/>
      </w:pPr>
      <w:rPr>
        <w:rFonts w:ascii="Courier New" w:hAnsi="Courier New" w:hint="default"/>
      </w:rPr>
    </w:lvl>
    <w:lvl w:ilvl="5" w:tplc="BA9A16C0">
      <w:start w:val="1"/>
      <w:numFmt w:val="bullet"/>
      <w:lvlText w:val=""/>
      <w:lvlJc w:val="left"/>
      <w:pPr>
        <w:ind w:left="4320" w:hanging="360"/>
      </w:pPr>
      <w:rPr>
        <w:rFonts w:ascii="Wingdings" w:hAnsi="Wingdings" w:hint="default"/>
      </w:rPr>
    </w:lvl>
    <w:lvl w:ilvl="6" w:tplc="2ABA91F0">
      <w:start w:val="1"/>
      <w:numFmt w:val="bullet"/>
      <w:lvlText w:val=""/>
      <w:lvlJc w:val="left"/>
      <w:pPr>
        <w:ind w:left="5040" w:hanging="360"/>
      </w:pPr>
      <w:rPr>
        <w:rFonts w:ascii="Symbol" w:hAnsi="Symbol" w:hint="default"/>
      </w:rPr>
    </w:lvl>
    <w:lvl w:ilvl="7" w:tplc="251E529A">
      <w:start w:val="1"/>
      <w:numFmt w:val="bullet"/>
      <w:lvlText w:val="o"/>
      <w:lvlJc w:val="left"/>
      <w:pPr>
        <w:ind w:left="5760" w:hanging="360"/>
      </w:pPr>
      <w:rPr>
        <w:rFonts w:ascii="Courier New" w:hAnsi="Courier New" w:hint="default"/>
      </w:rPr>
    </w:lvl>
    <w:lvl w:ilvl="8" w:tplc="75F6C0CC">
      <w:start w:val="1"/>
      <w:numFmt w:val="bullet"/>
      <w:lvlText w:val=""/>
      <w:lvlJc w:val="left"/>
      <w:pPr>
        <w:ind w:left="6480" w:hanging="360"/>
      </w:pPr>
      <w:rPr>
        <w:rFonts w:ascii="Wingdings" w:hAnsi="Wingdings" w:hint="default"/>
      </w:rPr>
    </w:lvl>
  </w:abstractNum>
  <w:abstractNum w:abstractNumId="10"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8"/>
  </w:num>
  <w:num w:numId="2" w16cid:durableId="104277141">
    <w:abstractNumId w:val="5"/>
  </w:num>
  <w:num w:numId="3" w16cid:durableId="2037346317">
    <w:abstractNumId w:val="12"/>
  </w:num>
  <w:num w:numId="4" w16cid:durableId="1206602690">
    <w:abstractNumId w:val="2"/>
  </w:num>
  <w:num w:numId="5" w16cid:durableId="853419595">
    <w:abstractNumId w:val="1"/>
  </w:num>
  <w:num w:numId="6" w16cid:durableId="90786768">
    <w:abstractNumId w:val="4"/>
  </w:num>
  <w:num w:numId="7" w16cid:durableId="839737575">
    <w:abstractNumId w:val="10"/>
  </w:num>
  <w:num w:numId="8" w16cid:durableId="1790929813">
    <w:abstractNumId w:val="0"/>
  </w:num>
  <w:num w:numId="9" w16cid:durableId="2145347354">
    <w:abstractNumId w:val="13"/>
  </w:num>
  <w:num w:numId="10" w16cid:durableId="1896039743">
    <w:abstractNumId w:val="3"/>
  </w:num>
  <w:num w:numId="11" w16cid:durableId="83693449">
    <w:abstractNumId w:val="6"/>
  </w:num>
  <w:num w:numId="12" w16cid:durableId="741416116">
    <w:abstractNumId w:val="11"/>
  </w:num>
  <w:num w:numId="13" w16cid:durableId="1892764646">
    <w:abstractNumId w:val="7"/>
  </w:num>
  <w:num w:numId="14" w16cid:durableId="2648443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13CDB"/>
    <w:rsid w:val="00015655"/>
    <w:rsid w:val="00015D4E"/>
    <w:rsid w:val="00017B43"/>
    <w:rsid w:val="00020E1A"/>
    <w:rsid w:val="000218F0"/>
    <w:rsid w:val="000320B2"/>
    <w:rsid w:val="00035827"/>
    <w:rsid w:val="00041A42"/>
    <w:rsid w:val="00047B46"/>
    <w:rsid w:val="000503D2"/>
    <w:rsid w:val="000560FB"/>
    <w:rsid w:val="000B132E"/>
    <w:rsid w:val="000B2073"/>
    <w:rsid w:val="000B2AF7"/>
    <w:rsid w:val="000B4B63"/>
    <w:rsid w:val="000C371A"/>
    <w:rsid w:val="000C6DDF"/>
    <w:rsid w:val="000D75BF"/>
    <w:rsid w:val="000F61F1"/>
    <w:rsid w:val="001125BB"/>
    <w:rsid w:val="001156E0"/>
    <w:rsid w:val="00117938"/>
    <w:rsid w:val="00117EF6"/>
    <w:rsid w:val="00121CF4"/>
    <w:rsid w:val="00124E94"/>
    <w:rsid w:val="00133C84"/>
    <w:rsid w:val="001358B8"/>
    <w:rsid w:val="001365BE"/>
    <w:rsid w:val="001375DA"/>
    <w:rsid w:val="001410ED"/>
    <w:rsid w:val="0014307E"/>
    <w:rsid w:val="00145091"/>
    <w:rsid w:val="00147C9B"/>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03E3"/>
    <w:rsid w:val="001E10F1"/>
    <w:rsid w:val="001E52DF"/>
    <w:rsid w:val="002007E8"/>
    <w:rsid w:val="00210D80"/>
    <w:rsid w:val="00213F52"/>
    <w:rsid w:val="00216FB0"/>
    <w:rsid w:val="00230B10"/>
    <w:rsid w:val="002333F9"/>
    <w:rsid w:val="00242995"/>
    <w:rsid w:val="002469AD"/>
    <w:rsid w:val="00247324"/>
    <w:rsid w:val="0026568A"/>
    <w:rsid w:val="002715C6"/>
    <w:rsid w:val="002747F2"/>
    <w:rsid w:val="00281DB5"/>
    <w:rsid w:val="002A5033"/>
    <w:rsid w:val="002B1DF1"/>
    <w:rsid w:val="002B2523"/>
    <w:rsid w:val="002B4145"/>
    <w:rsid w:val="002B50D3"/>
    <w:rsid w:val="002D1AA3"/>
    <w:rsid w:val="002D2FFF"/>
    <w:rsid w:val="002D4399"/>
    <w:rsid w:val="002D591F"/>
    <w:rsid w:val="002D67A9"/>
    <w:rsid w:val="002E3344"/>
    <w:rsid w:val="002E65CF"/>
    <w:rsid w:val="002F79B3"/>
    <w:rsid w:val="0030016C"/>
    <w:rsid w:val="00301D93"/>
    <w:rsid w:val="003130DA"/>
    <w:rsid w:val="00314EC2"/>
    <w:rsid w:val="00315998"/>
    <w:rsid w:val="00316648"/>
    <w:rsid w:val="00320E94"/>
    <w:rsid w:val="00344D9F"/>
    <w:rsid w:val="00346F09"/>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84957"/>
    <w:rsid w:val="004902D0"/>
    <w:rsid w:val="00491C7F"/>
    <w:rsid w:val="004A19B6"/>
    <w:rsid w:val="004A3564"/>
    <w:rsid w:val="004A6B38"/>
    <w:rsid w:val="004B1EEF"/>
    <w:rsid w:val="004B2893"/>
    <w:rsid w:val="004B52F4"/>
    <w:rsid w:val="004D1758"/>
    <w:rsid w:val="004E435A"/>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4AD"/>
    <w:rsid w:val="005D7C7D"/>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22DC"/>
    <w:rsid w:val="006335F1"/>
    <w:rsid w:val="006375EB"/>
    <w:rsid w:val="00640614"/>
    <w:rsid w:val="0065785F"/>
    <w:rsid w:val="006635C5"/>
    <w:rsid w:val="0066504B"/>
    <w:rsid w:val="00666DBF"/>
    <w:rsid w:val="0068096E"/>
    <w:rsid w:val="00686E58"/>
    <w:rsid w:val="00690C43"/>
    <w:rsid w:val="00694CF7"/>
    <w:rsid w:val="0069574A"/>
    <w:rsid w:val="00695F1D"/>
    <w:rsid w:val="006B156E"/>
    <w:rsid w:val="006D40BA"/>
    <w:rsid w:val="006D63AF"/>
    <w:rsid w:val="006E0C6E"/>
    <w:rsid w:val="006E77A4"/>
    <w:rsid w:val="006F5D74"/>
    <w:rsid w:val="006F6037"/>
    <w:rsid w:val="00701132"/>
    <w:rsid w:val="00716F56"/>
    <w:rsid w:val="007171C9"/>
    <w:rsid w:val="00724D12"/>
    <w:rsid w:val="00726712"/>
    <w:rsid w:val="00727A19"/>
    <w:rsid w:val="0074606D"/>
    <w:rsid w:val="007470EE"/>
    <w:rsid w:val="00747DC3"/>
    <w:rsid w:val="00757A7C"/>
    <w:rsid w:val="00761D9A"/>
    <w:rsid w:val="007643FD"/>
    <w:rsid w:val="0077722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3E91"/>
    <w:rsid w:val="00814144"/>
    <w:rsid w:val="00817417"/>
    <w:rsid w:val="008270E2"/>
    <w:rsid w:val="00827ACC"/>
    <w:rsid w:val="008302E4"/>
    <w:rsid w:val="00847DA2"/>
    <w:rsid w:val="00850F10"/>
    <w:rsid w:val="00854D48"/>
    <w:rsid w:val="00854EC6"/>
    <w:rsid w:val="00855019"/>
    <w:rsid w:val="00855E99"/>
    <w:rsid w:val="00856D6C"/>
    <w:rsid w:val="00861D95"/>
    <w:rsid w:val="0087633F"/>
    <w:rsid w:val="008775A6"/>
    <w:rsid w:val="00883105"/>
    <w:rsid w:val="00883A86"/>
    <w:rsid w:val="008903B3"/>
    <w:rsid w:val="00896D09"/>
    <w:rsid w:val="008A0D6B"/>
    <w:rsid w:val="008A3CB9"/>
    <w:rsid w:val="008A4DB0"/>
    <w:rsid w:val="008C0C4D"/>
    <w:rsid w:val="008C55A4"/>
    <w:rsid w:val="008C7DCB"/>
    <w:rsid w:val="008D4942"/>
    <w:rsid w:val="008E075A"/>
    <w:rsid w:val="008F3C7B"/>
    <w:rsid w:val="008F5F27"/>
    <w:rsid w:val="008F603D"/>
    <w:rsid w:val="008F7D6D"/>
    <w:rsid w:val="00911F9E"/>
    <w:rsid w:val="00924647"/>
    <w:rsid w:val="00924DC0"/>
    <w:rsid w:val="00935FE3"/>
    <w:rsid w:val="009369DE"/>
    <w:rsid w:val="00937B44"/>
    <w:rsid w:val="009408AE"/>
    <w:rsid w:val="00952F21"/>
    <w:rsid w:val="009558F7"/>
    <w:rsid w:val="00955BB2"/>
    <w:rsid w:val="009649DB"/>
    <w:rsid w:val="00965F09"/>
    <w:rsid w:val="009730F3"/>
    <w:rsid w:val="00973B6F"/>
    <w:rsid w:val="009760EB"/>
    <w:rsid w:val="009960A1"/>
    <w:rsid w:val="009A1A65"/>
    <w:rsid w:val="009B5123"/>
    <w:rsid w:val="009E1206"/>
    <w:rsid w:val="009E2D5A"/>
    <w:rsid w:val="009E30A3"/>
    <w:rsid w:val="009E36C5"/>
    <w:rsid w:val="009E7713"/>
    <w:rsid w:val="009F5B66"/>
    <w:rsid w:val="009F7EC5"/>
    <w:rsid w:val="00A06B44"/>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3CCF"/>
    <w:rsid w:val="00AF47E1"/>
    <w:rsid w:val="00B01CC4"/>
    <w:rsid w:val="00B02669"/>
    <w:rsid w:val="00B12340"/>
    <w:rsid w:val="00B15B88"/>
    <w:rsid w:val="00B177DF"/>
    <w:rsid w:val="00B23120"/>
    <w:rsid w:val="00B412A4"/>
    <w:rsid w:val="00B462B7"/>
    <w:rsid w:val="00B60FF6"/>
    <w:rsid w:val="00B66612"/>
    <w:rsid w:val="00B66BF0"/>
    <w:rsid w:val="00B70F04"/>
    <w:rsid w:val="00B724F0"/>
    <w:rsid w:val="00B811AE"/>
    <w:rsid w:val="00B860CA"/>
    <w:rsid w:val="00B87072"/>
    <w:rsid w:val="00B96C8B"/>
    <w:rsid w:val="00BA1167"/>
    <w:rsid w:val="00BA22EE"/>
    <w:rsid w:val="00BA33B9"/>
    <w:rsid w:val="00BA3D1F"/>
    <w:rsid w:val="00BC3C54"/>
    <w:rsid w:val="00BC47B4"/>
    <w:rsid w:val="00BC7408"/>
    <w:rsid w:val="00BC7876"/>
    <w:rsid w:val="00BD2C1F"/>
    <w:rsid w:val="00BD65ED"/>
    <w:rsid w:val="00BE02F3"/>
    <w:rsid w:val="00BE4D4A"/>
    <w:rsid w:val="00C24B74"/>
    <w:rsid w:val="00C32B5C"/>
    <w:rsid w:val="00C45161"/>
    <w:rsid w:val="00C573CF"/>
    <w:rsid w:val="00C643FC"/>
    <w:rsid w:val="00C66B1C"/>
    <w:rsid w:val="00C756B9"/>
    <w:rsid w:val="00C76C3C"/>
    <w:rsid w:val="00CB09AF"/>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444C"/>
    <w:rsid w:val="00D85C23"/>
    <w:rsid w:val="00D913B1"/>
    <w:rsid w:val="00D92ABB"/>
    <w:rsid w:val="00D93B9E"/>
    <w:rsid w:val="00D94C5D"/>
    <w:rsid w:val="00D955E3"/>
    <w:rsid w:val="00D95D5F"/>
    <w:rsid w:val="00DA1B34"/>
    <w:rsid w:val="00DA7A8D"/>
    <w:rsid w:val="00DB0EBB"/>
    <w:rsid w:val="00DB18DD"/>
    <w:rsid w:val="00DC1711"/>
    <w:rsid w:val="00DC20DB"/>
    <w:rsid w:val="00DC66BA"/>
    <w:rsid w:val="00DD71B3"/>
    <w:rsid w:val="00DE3DC6"/>
    <w:rsid w:val="00DF6BCD"/>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342B6"/>
    <w:rsid w:val="00F4202A"/>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0E6"/>
    <w:rsid w:val="00FA3EC0"/>
    <w:rsid w:val="00FA7A56"/>
    <w:rsid w:val="00FB1295"/>
    <w:rsid w:val="00FB50CD"/>
    <w:rsid w:val="00FB6BB8"/>
    <w:rsid w:val="00FC59E6"/>
    <w:rsid w:val="00FD0073"/>
    <w:rsid w:val="00FE66CC"/>
    <w:rsid w:val="00FE7569"/>
    <w:rsid w:val="00FF71B6"/>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4912999115a084fe25c4928dd63c8750">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3619fd30700acfddf1b47d18093eb12e"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EE7DC-2B9E-4FC4-B730-C12B74C97608}"/>
</file>

<file path=customXml/itemProps2.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3.xml><?xml version="1.0" encoding="utf-8"?>
<ds:datastoreItem xmlns:ds="http://schemas.openxmlformats.org/officeDocument/2006/customXml" ds:itemID="{AAC5806B-7968-4C07-AB5A-8B46891239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3336</Characters>
  <Application>Microsoft Office Word</Application>
  <DocSecurity>0</DocSecurity>
  <Lines>27</Lines>
  <Paragraphs>7</Paragraphs>
  <ScaleCrop>false</ScaleCrop>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Suzanne van Gennip</cp:lastModifiedBy>
  <cp:revision>32</cp:revision>
  <dcterms:created xsi:type="dcterms:W3CDTF">2025-11-04T10:35:00Z</dcterms:created>
  <dcterms:modified xsi:type="dcterms:W3CDTF">2025-12-11T09:14:00Z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